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cs="宋体"/>
          <w:bCs/>
          <w:sz w:val="36"/>
          <w:szCs w:val="36"/>
        </w:rPr>
      </w:pPr>
      <w:bookmarkStart w:id="0" w:name="title"/>
      <w:r>
        <w:rPr>
          <w:rFonts w:hint="eastAsia" w:ascii="宋体" w:hAnsi="宋体" w:cs="宋体"/>
          <w:bCs/>
          <w:sz w:val="36"/>
          <w:szCs w:val="32"/>
        </w:rPr>
        <w:t>辽宁省丹东市人民检察院</w:t>
      </w:r>
      <w:bookmarkEnd w:id="0"/>
    </w:p>
    <w:p>
      <w:pPr>
        <w:keepNext w:val="0"/>
        <w:keepLines w:val="0"/>
        <w:pageBreakBefore w:val="0"/>
        <w:widowControl w:val="0"/>
        <w:kinsoku/>
        <w:wordWrap/>
        <w:overflowPunct/>
        <w:topLinePunct w:val="0"/>
        <w:autoSpaceDE/>
        <w:autoSpaceDN/>
        <w:bidi w:val="0"/>
        <w:spacing w:line="560" w:lineRule="exact"/>
        <w:jc w:val="center"/>
        <w:textAlignment w:val="auto"/>
        <w:outlineLvl w:val="0"/>
        <w:rPr>
          <w:sz w:val="28"/>
          <w:szCs w:val="28"/>
        </w:rPr>
      </w:pPr>
      <w:r>
        <w:rPr>
          <w:b/>
          <w:spacing w:val="20"/>
          <w:sz w:val="44"/>
          <w:szCs w:val="44"/>
        </w:rPr>
        <w:t>民事公益诉讼起诉书</w:t>
      </w:r>
    </w:p>
    <w:p>
      <w:pPr>
        <w:keepNext w:val="0"/>
        <w:keepLines w:val="0"/>
        <w:pageBreakBefore w:val="0"/>
        <w:widowControl w:val="0"/>
        <w:kinsoku/>
        <w:wordWrap/>
        <w:overflowPunct/>
        <w:topLinePunct w:val="0"/>
        <w:autoSpaceDE/>
        <w:autoSpaceDN/>
        <w:bidi w:val="0"/>
        <w:spacing w:line="560" w:lineRule="exact"/>
        <w:ind w:firstLine="3878" w:firstLineChars="1385"/>
        <w:jc w:val="right"/>
        <w:textAlignment w:val="auto"/>
        <w:outlineLvl w:val="0"/>
        <w:rPr>
          <w:rFonts w:eastAsia="楷体_GB2312"/>
          <w:sz w:val="28"/>
          <w:szCs w:val="28"/>
        </w:rPr>
      </w:pPr>
      <w:bookmarkStart w:id="1" w:name="wh"/>
      <w:r>
        <w:rPr>
          <w:rFonts w:hint="eastAsia" w:eastAsia="楷体_GB2312"/>
          <w:sz w:val="28"/>
          <w:szCs w:val="28"/>
        </w:rPr>
        <w:t>丹检民公诉〔2022〕7号</w:t>
      </w:r>
      <w:bookmarkEnd w:id="1"/>
    </w:p>
    <w:p>
      <w:pPr>
        <w:keepNext w:val="0"/>
        <w:keepLines w:val="0"/>
        <w:pageBreakBefore w:val="0"/>
        <w:widowControl w:val="0"/>
        <w:kinsoku/>
        <w:wordWrap/>
        <w:overflowPunct/>
        <w:topLinePunct w:val="0"/>
        <w:autoSpaceDE/>
        <w:autoSpaceDN/>
        <w:bidi w:val="0"/>
        <w:spacing w:line="560" w:lineRule="exact"/>
        <w:textAlignment w:val="auto"/>
        <w:rPr>
          <w:rFonts w:eastAsia="仿宋_GB2312"/>
          <w:sz w:val="32"/>
          <w:szCs w:val="20"/>
        </w:rPr>
      </w:pP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公益诉讼起诉人：</w:t>
      </w:r>
      <w:bookmarkStart w:id="2" w:name="bdw"/>
      <w:r>
        <w:rPr>
          <w:rFonts w:hint="eastAsia" w:ascii="仿宋_GB2312" w:eastAsia="仿宋_GB2312"/>
          <w:sz w:val="32"/>
          <w:lang w:eastAsia="zh-CN"/>
        </w:rPr>
        <w:t>辽宁省丹东市</w:t>
      </w:r>
      <w:r>
        <w:rPr>
          <w:rFonts w:hint="eastAsia" w:ascii="仿宋_GB2312" w:eastAsia="仿宋_GB2312"/>
          <w:sz w:val="32"/>
        </w:rPr>
        <w:t>人民检察院</w:t>
      </w:r>
      <w:bookmarkEnd w:id="2"/>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被告：郑洪贵，男，1969年7月26日出生，居民身份证号：210723196907261014，汉族，户籍地：辽宁省绥中县小庄子镇马家洼村团山子屯338号，现住辽宁省绥中县小庄子镇马家洼村团山子屯338号。</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lang w:eastAsia="zh-CN"/>
        </w:rPr>
        <w:t>被告：</w:t>
      </w:r>
      <w:r>
        <w:rPr>
          <w:rFonts w:hint="eastAsia" w:ascii="仿宋_GB2312" w:eastAsia="仿宋_GB2312"/>
          <w:sz w:val="32"/>
        </w:rPr>
        <w:t>张福静，男，1979年4月1日出生，居民身份证号：211421197904010638，汉族，户籍地：辽宁省绥中县小庄子乡二河口村，现住辽宁省绥中县小庄子乡二河口村。</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lang w:eastAsia="zh-CN"/>
        </w:rPr>
        <w:t>被告：</w:t>
      </w:r>
      <w:r>
        <w:rPr>
          <w:rFonts w:hint="eastAsia" w:ascii="仿宋_GB2312" w:eastAsia="仿宋_GB2312"/>
          <w:sz w:val="32"/>
        </w:rPr>
        <w:t>冯国君，男，1978年3月28日出生，居民身份证号：211421197803281017，汉族，户籍地：辽宁省绥中县小庄子乡盐锅村3组，现住辽宁省绥中县小庄子乡盐锅村3组。</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lang w:eastAsia="zh-CN"/>
        </w:rPr>
        <w:t>被告：</w:t>
      </w:r>
      <w:r>
        <w:rPr>
          <w:rFonts w:hint="eastAsia" w:ascii="仿宋_GB2312" w:eastAsia="仿宋_GB2312"/>
          <w:sz w:val="32"/>
        </w:rPr>
        <w:t>张云明，男，1976年4月17日出生，居民身份证号：220222197604178355，汉族，户籍地：吉林省舒兰市环城街正义村二社，现住辽宁省东港市东泰家园5号楼1单元301室。</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诉讼请求：</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1.判令被告人郑洪贵、张福静、冯国君、张云明四人于2023年6月中旬前共同承担在涉案海域增殖放流三疣梭子蟹的生态修复责任；如未在上述期限进行增殖放流，由相关行政机关或者委托没有利害关系的第三人代履行，所需费用由被告人共同承担；</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2.判令被告人郑洪贵、张福静、冯国君、张云明四人共同承担专家咨询费6000元；</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sz w:val="32"/>
          <w:lang w:val="en-US" w:eastAsia="zh-CN"/>
        </w:rPr>
      </w:pPr>
      <w:r>
        <w:rPr>
          <w:rFonts w:hint="eastAsia" w:ascii="仿宋_GB2312" w:eastAsia="仿宋_GB2312"/>
          <w:sz w:val="32"/>
          <w:lang w:val="en-US" w:eastAsia="zh-CN"/>
        </w:rPr>
        <w:t>3.判令被告人共同承担诉讼费。</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事实和理由：</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szCs w:val="32"/>
          <w:lang w:eastAsia="zh-CN"/>
        </w:rPr>
      </w:pPr>
      <w:r>
        <w:rPr>
          <w:rFonts w:hint="eastAsia" w:ascii="仿宋_GB2312" w:eastAsia="仿宋_GB2312"/>
          <w:sz w:val="32"/>
          <w:lang w:eastAsia="zh-CN"/>
        </w:rPr>
        <w:t>本院接到东港市人民检察院移送案件线索，郑洪贵、张福静、冯国君、张云明四人非法捕捞水产品的行为损害国家利益和社会公共利益。东港市人民检察院于</w:t>
      </w:r>
      <w:bookmarkStart w:id="3" w:name="larq"/>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bookmarkEnd w:id="3"/>
      <w:r>
        <w:rPr>
          <w:rFonts w:hint="eastAsia" w:ascii="仿宋_GB2312" w:eastAsia="仿宋_GB2312"/>
          <w:sz w:val="32"/>
          <w:szCs w:val="32"/>
        </w:rPr>
        <w:t>立案，</w:t>
      </w:r>
      <w:bookmarkStart w:id="4" w:name="ggrq"/>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bookmarkEnd w:id="4"/>
      <w:r>
        <w:rPr>
          <w:rFonts w:hint="eastAsia" w:ascii="仿宋_GB2312" w:eastAsia="仿宋_GB2312"/>
          <w:sz w:val="32"/>
          <w:szCs w:val="32"/>
        </w:rPr>
        <w:t>履行公告程序</w:t>
      </w:r>
      <w:r>
        <w:rPr>
          <w:rFonts w:hint="eastAsia" w:ascii="仿宋_GB2312" w:eastAsia="仿宋_GB2312"/>
          <w:sz w:val="32"/>
          <w:szCs w:val="32"/>
          <w:lang w:eastAsia="zh-CN"/>
        </w:rPr>
        <w:t>，法律规定的机关、社会组织在公告期届满后未提起诉讼</w:t>
      </w:r>
      <w:r>
        <w:rPr>
          <w:rFonts w:hint="eastAsia" w:ascii="仿宋_GB2312" w:eastAsia="仿宋_GB2312"/>
          <w:sz w:val="32"/>
          <w:szCs w:val="32"/>
          <w:lang w:val="en-US" w:eastAsia="zh-CN"/>
        </w:rPr>
        <w:t>;2022年6月8日，经</w:t>
      </w:r>
      <w:r>
        <w:rPr>
          <w:rFonts w:hint="eastAsia" w:ascii="仿宋_GB2312" w:eastAsia="仿宋_GB2312"/>
          <w:sz w:val="32"/>
          <w:lang w:eastAsia="zh-CN"/>
        </w:rPr>
        <w:t>东港市人民检察院</w:t>
      </w:r>
      <w:r>
        <w:rPr>
          <w:rFonts w:hint="eastAsia" w:ascii="仿宋_GB2312" w:eastAsia="仿宋_GB2312"/>
          <w:sz w:val="32"/>
          <w:szCs w:val="32"/>
          <w:lang w:val="en-US" w:eastAsia="zh-CN"/>
        </w:rPr>
        <w:t>向丹东海警局东港第一工作站发函，</w:t>
      </w:r>
      <w:r>
        <w:rPr>
          <w:rFonts w:hint="eastAsia" w:ascii="仿宋_GB2312" w:eastAsia="仿宋_GB2312"/>
          <w:sz w:val="32"/>
          <w:szCs w:val="32"/>
          <w:lang w:eastAsia="zh-CN"/>
        </w:rPr>
        <w:t>该单位复函不</w:t>
      </w:r>
      <w:r>
        <w:rPr>
          <w:rFonts w:hint="eastAsia" w:ascii="仿宋_GB2312" w:eastAsia="仿宋_GB2312"/>
          <w:sz w:val="32"/>
        </w:rPr>
        <w:t>提起民事公益诉讼</w:t>
      </w:r>
      <w:r>
        <w:rPr>
          <w:rFonts w:hint="eastAsia" w:ascii="仿宋_GB2312" w:eastAsia="仿宋_GB2312"/>
          <w:sz w:val="32"/>
          <w:lang w:eastAsia="zh-CN"/>
        </w:rPr>
        <w:t>。</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经依法审查查明：</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2021年4月10日，</w:t>
      </w:r>
      <w:r>
        <w:rPr>
          <w:rFonts w:hint="eastAsia" w:ascii="仿宋_GB2312" w:eastAsia="仿宋_GB2312"/>
          <w:sz w:val="32"/>
          <w:lang w:eastAsia="zh-CN"/>
        </w:rPr>
        <w:t>被告人</w:t>
      </w:r>
      <w:r>
        <w:rPr>
          <w:rFonts w:hint="eastAsia" w:ascii="仿宋_GB2312" w:eastAsia="仿宋_GB2312"/>
          <w:sz w:val="32"/>
        </w:rPr>
        <w:t>郑洪贵在北纬39度10分，东经123度56分附近海域下网捕捞，后因船舶故障未能起网。</w:t>
      </w:r>
      <w:r>
        <w:rPr>
          <w:rFonts w:hint="eastAsia" w:ascii="仿宋_GB2312" w:eastAsia="仿宋_GB2312"/>
          <w:color w:val="auto"/>
          <w:sz w:val="32"/>
          <w:highlight w:val="none"/>
        </w:rPr>
        <w:t>2021年5月中旬，</w:t>
      </w:r>
      <w:r>
        <w:rPr>
          <w:rFonts w:hint="eastAsia" w:ascii="仿宋_GB2312" w:eastAsia="仿宋_GB2312"/>
          <w:color w:val="auto"/>
          <w:sz w:val="32"/>
          <w:highlight w:val="none"/>
          <w:lang w:eastAsia="zh-CN"/>
        </w:rPr>
        <w:t>被告人</w:t>
      </w:r>
      <w:r>
        <w:rPr>
          <w:rFonts w:hint="eastAsia" w:ascii="仿宋_GB2312" w:eastAsia="仿宋_GB2312"/>
          <w:color w:val="auto"/>
          <w:sz w:val="32"/>
          <w:highlight w:val="none"/>
        </w:rPr>
        <w:t>郑洪贵欲出海起网，</w:t>
      </w:r>
      <w:r>
        <w:rPr>
          <w:rFonts w:hint="eastAsia" w:ascii="仿宋_GB2312" w:eastAsia="仿宋_GB2312"/>
          <w:color w:val="auto"/>
          <w:sz w:val="32"/>
          <w:highlight w:val="none"/>
          <w:lang w:eastAsia="zh-CN"/>
        </w:rPr>
        <w:t>将此事告诉被告人</w:t>
      </w:r>
      <w:r>
        <w:rPr>
          <w:rFonts w:hint="eastAsia" w:ascii="仿宋_GB2312" w:eastAsia="仿宋_GB2312"/>
          <w:color w:val="auto"/>
          <w:sz w:val="32"/>
          <w:highlight w:val="none"/>
        </w:rPr>
        <w:t>张云明</w:t>
      </w:r>
      <w:r>
        <w:rPr>
          <w:rFonts w:hint="eastAsia" w:ascii="仿宋_GB2312" w:eastAsia="仿宋_GB2312"/>
          <w:color w:val="auto"/>
          <w:sz w:val="32"/>
          <w:highlight w:val="none"/>
          <w:lang w:eastAsia="zh-CN"/>
        </w:rPr>
        <w:t>，张云明遂作为中间人撮合被告人张福静、郑洪贵，</w:t>
      </w:r>
      <w:r>
        <w:rPr>
          <w:rFonts w:hint="eastAsia" w:ascii="仿宋_GB2312" w:eastAsia="仿宋_GB2312"/>
          <w:color w:val="auto"/>
          <w:sz w:val="32"/>
          <w:highlight w:val="none"/>
        </w:rPr>
        <w:t>三人约定此次出海起网，郑洪贵负责联系船员并提供网具，张福静负责提供船只并指派</w:t>
      </w:r>
      <w:r>
        <w:rPr>
          <w:rFonts w:hint="eastAsia" w:ascii="仿宋_GB2312" w:eastAsia="仿宋_GB2312"/>
          <w:color w:val="auto"/>
          <w:sz w:val="32"/>
          <w:highlight w:val="none"/>
          <w:lang w:eastAsia="zh-CN"/>
        </w:rPr>
        <w:t>被告人船员</w:t>
      </w:r>
      <w:r>
        <w:rPr>
          <w:rFonts w:hint="eastAsia" w:ascii="仿宋_GB2312" w:eastAsia="仿宋_GB2312"/>
          <w:color w:val="auto"/>
          <w:sz w:val="32"/>
          <w:highlight w:val="none"/>
        </w:rPr>
        <w:t>驾船，渔获物出售给张云明后，利润由郑洪贵与张福静均分。2021年5月20日4时许，</w:t>
      </w:r>
      <w:r>
        <w:rPr>
          <w:rFonts w:hint="eastAsia" w:ascii="仿宋_GB2312" w:eastAsia="仿宋_GB2312"/>
          <w:color w:val="auto"/>
          <w:sz w:val="32"/>
          <w:highlight w:val="none"/>
          <w:lang w:eastAsia="zh-CN"/>
        </w:rPr>
        <w:t>被告人</w:t>
      </w:r>
      <w:r>
        <w:rPr>
          <w:rFonts w:hint="eastAsia" w:ascii="仿宋_GB2312" w:eastAsia="仿宋_GB2312"/>
          <w:color w:val="auto"/>
          <w:sz w:val="32"/>
          <w:highlight w:val="none"/>
        </w:rPr>
        <w:t>冯国君受张福静指派</w:t>
      </w:r>
      <w:r>
        <w:rPr>
          <w:rFonts w:hint="eastAsia" w:ascii="仿宋_GB2312" w:eastAsia="仿宋_GB2312"/>
          <w:color w:val="auto"/>
          <w:sz w:val="32"/>
          <w:highlight w:val="none"/>
          <w:lang w:eastAsia="zh-CN"/>
        </w:rPr>
        <w:t>，驾驶</w:t>
      </w:r>
      <w:r>
        <w:rPr>
          <w:rFonts w:hint="eastAsia" w:ascii="仿宋_GB2312" w:eastAsia="仿宋_GB2312"/>
          <w:color w:val="auto"/>
          <w:sz w:val="32"/>
          <w:highlight w:val="none"/>
        </w:rPr>
        <w:t>辽丹渔01447号渔船</w:t>
      </w:r>
      <w:r>
        <w:rPr>
          <w:rFonts w:hint="eastAsia" w:ascii="仿宋_GB2312" w:eastAsia="仿宋_GB2312"/>
          <w:sz w:val="32"/>
        </w:rPr>
        <w:t>带领郑洪贵等七人到达北纬39度10分，东经123度56分附近海域，起网获得渔获物螃蟹6桶，杂鱼2筛子。2021年5月20日21时许，辽丹渔01447号渔船返航至北纬39度38分，东经124度06分海域被海警查获。2021年5月21日，经执法人员现场称重，该渔船所得渔获物为梭子蟹328.5公斤，杂鱼49.6公斤，经东港市价格认证中心认定，上述渔获物总价值为101000元，并经东港市拍卖行有限公司以101000元将上述渔获物拍卖。</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default" w:ascii="仿宋_GB2312" w:hAnsi="仿宋_GB2312" w:eastAsia="仿宋_GB2312" w:cs="仿宋_GB2312"/>
          <w:sz w:val="32"/>
          <w:lang w:val="en-US" w:eastAsia="zh-CN"/>
        </w:rPr>
      </w:pPr>
      <w:r>
        <w:rPr>
          <w:rFonts w:hint="eastAsia" w:ascii="仿宋_GB2312" w:eastAsia="仿宋_GB2312"/>
          <w:sz w:val="32"/>
          <w:lang w:val="en-US" w:eastAsia="zh-CN"/>
        </w:rPr>
        <w:t>2022年6月8日，经东港市院向有关海洋水产资源专家咨询，专家组形成咨询意见，认为郑洪贵等人的行为对相关海域的海洋渔业资源造成一定损害，建议按照甲壳类（中国对虾、三疣梭子蟹）增殖放流的回捕率0.8%计算，于2023年6月放流三疣梭子蟹稚蟹</w:t>
      </w:r>
      <w:r>
        <w:rPr>
          <w:rFonts w:hint="eastAsia" w:ascii="仿宋" w:hAnsi="仿宋" w:eastAsia="仿宋" w:cs="仿宋"/>
          <w:sz w:val="32"/>
          <w:lang w:val="en-US" w:eastAsia="zh-CN"/>
        </w:rPr>
        <w:t>II期苗种（甲宽≥6㎜）1069050尾，参考价为900元/万尾。</w:t>
      </w: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lang w:eastAsia="zh-CN"/>
        </w:rPr>
      </w:pPr>
      <w:r>
        <w:rPr>
          <w:rFonts w:hint="eastAsia" w:ascii="仿宋_GB2312" w:eastAsia="仿宋_GB2312"/>
          <w:sz w:val="32"/>
        </w:rPr>
        <w:t>认定上述事实的证据</w:t>
      </w:r>
      <w:r>
        <w:rPr>
          <w:rFonts w:hint="eastAsia" w:ascii="仿宋_GB2312" w:eastAsia="仿宋_GB2312"/>
          <w:sz w:val="32"/>
          <w:lang w:eastAsia="zh-CN"/>
        </w:rPr>
        <w:t>有现场照片、扣押清单、</w:t>
      </w:r>
      <w:r>
        <w:rPr>
          <w:rFonts w:hint="eastAsia" w:ascii="仿宋_GB2312" w:eastAsia="仿宋_GB2312"/>
          <w:sz w:val="32"/>
          <w:szCs w:val="32"/>
        </w:rPr>
        <w:t>东港市价格认证中心涉案财物</w:t>
      </w:r>
      <w:r>
        <w:rPr>
          <w:rFonts w:hint="eastAsia" w:ascii="仿宋_GB2312" w:eastAsia="仿宋_GB2312"/>
          <w:sz w:val="32"/>
          <w:lang w:eastAsia="zh-CN"/>
        </w:rPr>
        <w:t>价格认定结论书、证人证言、郑洪贵</w:t>
      </w:r>
      <w:r>
        <w:rPr>
          <w:rFonts w:hint="eastAsia" w:ascii="仿宋_GB2312" w:eastAsia="仿宋_GB2312"/>
          <w:sz w:val="32"/>
          <w:szCs w:val="32"/>
        </w:rPr>
        <w:t>、张福静、冯国君、张云明的供述</w:t>
      </w:r>
      <w:r>
        <w:rPr>
          <w:rFonts w:hint="eastAsia" w:ascii="仿宋_GB2312" w:eastAsia="仿宋_GB2312"/>
          <w:sz w:val="32"/>
          <w:szCs w:val="32"/>
          <w:lang w:eastAsia="zh-CN"/>
        </w:rPr>
        <w:t>、询问笔录、勘验笔录、称重笔录、刑事判决书、专家意见等。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rPr>
        <w:t>本院认为，</w:t>
      </w:r>
      <w:r>
        <w:rPr>
          <w:rFonts w:hint="eastAsia" w:ascii="仿宋_GB2312" w:eastAsia="仿宋_GB2312"/>
          <w:sz w:val="32"/>
          <w:szCs w:val="32"/>
          <w:lang w:eastAsia="zh-CN"/>
        </w:rPr>
        <w:t>根据《中华人民共和国渔业法》第三十条第一款：“……禁止在禁渔区、禁渔期进行捕捞。……在禁渔区或者禁渔期内禁止销售非法捕捞的渔获物。”及</w:t>
      </w:r>
      <w:r>
        <w:rPr>
          <w:rFonts w:hint="eastAsia" w:ascii="仿宋_GB2312" w:eastAsia="仿宋_GB2312"/>
          <w:sz w:val="32"/>
          <w:lang w:eastAsia="zh-CN"/>
        </w:rPr>
        <w:t>《中华人民共和国民法典》</w:t>
      </w:r>
      <w:r>
        <w:rPr>
          <w:rFonts w:hint="eastAsia" w:eastAsia="仿宋_GB2312"/>
          <w:color w:val="000000"/>
          <w:sz w:val="32"/>
          <w:szCs w:val="32"/>
        </w:rPr>
        <w:t>第一百八十七条：“民事主体因同一行为应当承担民事责任、行政责任和刑事责任的，承担行政责任或者刑事责任不影响承担民事责任</w:t>
      </w:r>
      <w:r>
        <w:rPr>
          <w:rFonts w:eastAsia="仿宋_GB2312"/>
          <w:color w:val="000000"/>
          <w:sz w:val="32"/>
          <w:szCs w:val="32"/>
        </w:rPr>
        <w:t>。</w:t>
      </w:r>
      <w:r>
        <w:rPr>
          <w:rFonts w:hint="eastAsia" w:eastAsia="仿宋_GB2312"/>
          <w:color w:val="000000"/>
          <w:sz w:val="32"/>
          <w:szCs w:val="32"/>
        </w:rPr>
        <w:t>”</w:t>
      </w:r>
      <w:r>
        <w:rPr>
          <w:rFonts w:hint="eastAsia" w:eastAsia="仿宋_GB2312"/>
          <w:color w:val="000000"/>
          <w:sz w:val="32"/>
          <w:szCs w:val="32"/>
          <w:lang w:eastAsia="zh-CN"/>
        </w:rPr>
        <w:t>及</w:t>
      </w:r>
      <w:r>
        <w:rPr>
          <w:rFonts w:hint="eastAsia" w:ascii="仿宋_GB2312" w:eastAsia="仿宋_GB2312"/>
          <w:sz w:val="32"/>
          <w:lang w:eastAsia="zh-CN"/>
        </w:rPr>
        <w:t>第一千二百三十四条：“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承担。”的规定，在</w:t>
      </w:r>
      <w:r>
        <w:rPr>
          <w:rFonts w:hint="eastAsia" w:ascii="仿宋_GB2312" w:eastAsia="仿宋_GB2312"/>
          <w:sz w:val="32"/>
          <w:szCs w:val="32"/>
          <w:lang w:eastAsia="zh-CN"/>
        </w:rPr>
        <w:t>禁渔区或者禁渔期内进行非法捕捞，破坏渔业资源的，依法应承担生态环境损害修复责任。</w:t>
      </w:r>
      <w:r>
        <w:rPr>
          <w:rFonts w:hint="eastAsia" w:ascii="仿宋_GB2312" w:eastAsia="仿宋_GB2312"/>
          <w:sz w:val="32"/>
          <w:lang w:eastAsia="zh-CN"/>
        </w:rPr>
        <w:t>本案中，郑洪贵、张福静、冯国君、张云明违反上述规定，在禁渔区、禁渔期非法捕捞水产品，</w:t>
      </w:r>
      <w:r>
        <w:rPr>
          <w:rFonts w:hint="eastAsia" w:ascii="仿宋_GB2312" w:eastAsia="仿宋_GB2312"/>
          <w:sz w:val="32"/>
          <w:szCs w:val="32"/>
          <w:lang w:val="en-US" w:eastAsia="zh-CN"/>
        </w:rPr>
        <w:t>破坏了国家对渔业资源的保护、增殖、开发和利用，影响了渔业水域生态平衡，损害了社会公共利益，依法</w:t>
      </w:r>
      <w:r>
        <w:rPr>
          <w:rFonts w:hint="eastAsia" w:ascii="仿宋_GB2312" w:eastAsia="仿宋_GB2312"/>
          <w:sz w:val="32"/>
        </w:rPr>
        <w:t>应承担</w:t>
      </w:r>
      <w:r>
        <w:rPr>
          <w:rFonts w:hint="eastAsia" w:ascii="仿宋_GB2312" w:eastAsia="仿宋_GB2312"/>
          <w:sz w:val="32"/>
          <w:lang w:eastAsia="zh-CN"/>
        </w:rPr>
        <w:t>赔偿海洋渔业资源损失的民事侵权</w:t>
      </w:r>
      <w:r>
        <w:rPr>
          <w:rFonts w:hint="eastAsia" w:ascii="仿宋_GB2312" w:eastAsia="仿宋_GB2312"/>
          <w:sz w:val="32"/>
        </w:rPr>
        <w:t>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rPr>
      </w:pPr>
      <w:r>
        <w:rPr>
          <w:rFonts w:hint="eastAsia" w:ascii="仿宋_GB2312" w:eastAsia="仿宋_GB2312"/>
          <w:sz w:val="32"/>
          <w:szCs w:val="32"/>
          <w:lang w:val="en-US" w:eastAsia="zh-CN"/>
        </w:rPr>
        <w:t>综上所述，</w:t>
      </w:r>
      <w:bookmarkStart w:id="5" w:name="xm1"/>
      <w:r>
        <w:rPr>
          <w:rFonts w:hint="eastAsia" w:ascii="仿宋_GB2312" w:eastAsia="仿宋_GB2312"/>
          <w:sz w:val="32"/>
          <w:szCs w:val="32"/>
          <w:lang w:val="en-US" w:eastAsia="zh-CN"/>
        </w:rPr>
        <w:t>郑洪贵等人非法捕捞水产品的</w:t>
      </w:r>
      <w:bookmarkEnd w:id="5"/>
      <w:r>
        <w:rPr>
          <w:rFonts w:hint="eastAsia" w:ascii="仿宋_GB2312" w:eastAsia="仿宋_GB2312"/>
          <w:sz w:val="32"/>
          <w:szCs w:val="32"/>
          <w:lang w:val="en-US" w:eastAsia="zh-CN"/>
        </w:rPr>
        <w:t>行为侵害了国家渔业资源和水域生态环境，符合提起民事公益诉讼的条件，依法应提起民事公益诉讼。现根据《中华人民共和国民事诉讼法》第五十八条第二款、《最高人民法院、最高人民检察院关于办理海洋自然资源与生态环境公益诉讼案件若干问题的规定》第三条的规定，向你院提起民事公益诉讼，请依法裁判。</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sz w:val="32"/>
        </w:rPr>
      </w:pPr>
      <w:r>
        <w:rPr>
          <w:rFonts w:hint="eastAsia" w:ascii="仿宋_GB2312"/>
          <w:snapToGrid/>
          <w:sz w:val="32"/>
          <w:u w:val="none"/>
        </w:rPr>
        <w:t>此致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rPr>
      </w:pPr>
      <w:bookmarkStart w:id="6" w:name="slfy"/>
      <w:r>
        <w:rPr>
          <w:rFonts w:hint="eastAsia" w:ascii="仿宋_GB2312" w:eastAsia="仿宋_GB2312"/>
          <w:sz w:val="32"/>
          <w:lang w:eastAsia="zh-CN"/>
        </w:rPr>
        <w:t>大连海事</w:t>
      </w:r>
      <w:bookmarkStart w:id="9" w:name="_GoBack"/>
      <w:bookmarkEnd w:id="9"/>
      <w:r>
        <w:rPr>
          <w:rFonts w:hint="eastAsia" w:ascii="仿宋_GB2312" w:eastAsia="仿宋_GB2312"/>
          <w:sz w:val="32"/>
        </w:rPr>
        <w:t>法院</w:t>
      </w:r>
      <w:bookmarkEnd w:id="6"/>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r>
        <w:rPr>
          <w:rFonts w:hint="eastAsia" w:ascii="仿宋_GB2312" w:eastAsia="仿宋_GB2312"/>
          <w:sz w:val="32"/>
        </w:rPr>
        <w:t xml:space="preserve">                             </w:t>
      </w:r>
      <w:bookmarkStart w:id="7" w:name="dqrq"/>
      <w:r>
        <w:rPr>
          <w:rFonts w:hint="eastAsia" w:ascii="仿宋_GB2312" w:eastAsia="仿宋_GB2312"/>
          <w:sz w:val="32"/>
        </w:rPr>
        <w:t>2022年7月14日</w:t>
      </w:r>
      <w:bookmarkEnd w:id="7"/>
    </w:p>
    <w:p>
      <w:pPr>
        <w:keepNext w:val="0"/>
        <w:keepLines w:val="0"/>
        <w:pageBreakBefore w:val="0"/>
        <w:widowControl w:val="0"/>
        <w:kinsoku/>
        <w:wordWrap/>
        <w:overflowPunct/>
        <w:topLinePunct w:val="0"/>
        <w:autoSpaceDE/>
        <w:autoSpaceDN/>
        <w:bidi w:val="0"/>
        <w:spacing w:line="560" w:lineRule="exact"/>
        <w:ind w:firstLine="633" w:firstLineChars="198"/>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lang w:eastAsia="zh-CN"/>
        </w:rPr>
      </w:pPr>
      <w:r>
        <w:rPr>
          <w:rFonts w:ascii="Times New Roman" w:hAnsi="Times New Roman" w:eastAsia="仿宋_GB2312"/>
          <w:sz w:val="32"/>
        </w:rPr>
        <w:t>附件：1.检察卷宗</w:t>
      </w:r>
      <w:r>
        <w:rPr>
          <w:rFonts w:hint="eastAsia" w:eastAsia="仿宋_GB2312"/>
          <w:sz w:val="32"/>
          <w:lang w:val="en-US" w:eastAsia="zh-CN"/>
        </w:rPr>
        <w:t>1</w:t>
      </w:r>
      <w:r>
        <w:rPr>
          <w:rFonts w:ascii="Times New Roman" w:hAnsi="Times New Roman" w:eastAsia="仿宋_GB2312"/>
          <w:sz w:val="32"/>
        </w:rPr>
        <w:t>册</w:t>
      </w:r>
      <w:r>
        <w:rPr>
          <w:rFonts w:hint="eastAsia" w:ascii="Times New Roman" w:hAnsi="Times New Roman" w:eastAsia="仿宋_GB2312"/>
          <w:sz w:val="32"/>
          <w:lang w:eastAsia="zh-CN"/>
        </w:rPr>
        <w:t>；</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sz w:val="32"/>
          <w:szCs w:val="32"/>
          <w:lang w:val="en-US" w:eastAsia="zh-CN"/>
        </w:rPr>
      </w:pPr>
      <w:bookmarkStart w:id="8" w:name="_Toc1787"/>
      <w:r>
        <w:rPr>
          <w:rFonts w:hint="eastAsia" w:ascii="仿宋_GB2312" w:hAnsi="仿宋_GB2312" w:eastAsia="仿宋_GB2312" w:cs="仿宋_GB2312"/>
          <w:sz w:val="32"/>
          <w:szCs w:val="32"/>
          <w:lang w:val="en-US" w:eastAsia="zh-CN"/>
        </w:rPr>
        <w:t>2.民事公益诉讼起诉书副本</w:t>
      </w:r>
      <w:r>
        <w:rPr>
          <w:rFonts w:hint="eastAsia" w:ascii="仿宋_GB2312" w:hAnsi="仿宋_GB2312" w:eastAsia="仿宋_GB2312" w:cs="仿宋_GB2312"/>
          <w:sz w:val="36"/>
          <w:szCs w:val="32"/>
          <w:lang w:val="en-US" w:eastAsia="zh-CN"/>
        </w:rPr>
        <w:t>7</w:t>
      </w:r>
      <w:r>
        <w:rPr>
          <w:rFonts w:hint="eastAsia" w:ascii="仿宋_GB2312" w:hAnsi="仿宋_GB2312" w:eastAsia="仿宋_GB2312" w:cs="仿宋_GB2312"/>
          <w:sz w:val="32"/>
          <w:szCs w:val="32"/>
          <w:lang w:val="en-US" w:eastAsia="zh-CN"/>
        </w:rPr>
        <w:t>份</w:t>
      </w:r>
      <w:bookmarkEnd w:id="8"/>
      <w:r>
        <w:rPr>
          <w:rFonts w:hint="eastAsia" w:ascii="仿宋_GB2312" w:hAnsi="仿宋_GB2312" w:eastAsia="仿宋_GB2312" w:cs="仿宋_GB2312"/>
          <w:sz w:val="32"/>
          <w:szCs w:val="32"/>
          <w:lang w:val="en-US" w:eastAsia="zh-CN"/>
        </w:rPr>
        <w:t>；</w:t>
      </w:r>
    </w:p>
    <w:p>
      <w:r>
        <w:drawing>
          <wp:anchor distT="0" distB="0" distL="114300" distR="114300" simplePos="0" relativeHeight="251659264" behindDoc="0" locked="0" layoutInCell="1" allowOverlap="1">
            <wp:simplePos x="0" y="0"/>
            <wp:positionH relativeFrom="page">
              <wp:posOffset>5841365</wp:posOffset>
            </wp:positionH>
            <wp:positionV relativeFrom="page">
              <wp:posOffset>9781540</wp:posOffset>
            </wp:positionV>
            <wp:extent cx="575945" cy="575945"/>
            <wp:effectExtent l="0" t="0" r="1460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75945" cy="575945"/>
                    </a:xfrm>
                    <a:prstGeom prst="rect">
                      <a:avLst/>
                    </a:prstGeom>
                    <a:noFill/>
                    <a:ln>
                      <a:noFill/>
                    </a:ln>
                  </pic:spPr>
                </pic:pic>
              </a:graphicData>
            </a:graphic>
          </wp:anchor>
        </w:draw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ZmM3YTU1Y2VjY2E3ZGFhY2FjOTU5YmZlMjAwMGUifQ=="/>
  </w:docVars>
  <w:rsids>
    <w:rsidRoot w:val="00000000"/>
    <w:rsid w:val="056C0B44"/>
    <w:rsid w:val="1E42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ind w:left="420" w:leftChars="200"/>
    </w:pPr>
    <w:rPr>
      <w:sz w:val="21"/>
    </w:rPr>
  </w:style>
  <w:style w:type="paragraph" w:styleId="4">
    <w:name w:val="Salutation"/>
    <w:basedOn w:val="1"/>
    <w:next w:val="1"/>
    <w:uiPriority w:val="0"/>
    <w:rPr>
      <w:rFonts w:eastAsia="仿宋_GB2312"/>
      <w:snapToGrid w:val="0"/>
      <w:sz w:val="18"/>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1901</Words>
  <Characters>2098</Characters>
  <Lines>0</Lines>
  <Paragraphs>0</Paragraphs>
  <TotalTime>0</TotalTime>
  <ScaleCrop>false</ScaleCrop>
  <LinksUpToDate>false</LinksUpToDate>
  <CharactersWithSpaces>2127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2022-08-25T00:25:00Z</dcterms:created>
  <dc:creator>Administrator</dc:creator>
  <cp:lastModifiedBy>DELL</cp:lastModifiedBy>
  <dcterms:modified xsi:type="dcterms:W3CDTF">2022-10-14T01:31:17Z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58D07CE5C6284DEDA664D4682208632A</vt:lpwstr>
  </property>
</Properties>
</file>